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8"/>
      </w:tblGrid>
      <w:tr w:rsidR="00F17D74" w:rsidRPr="006068C7" w:rsidTr="008F76ED">
        <w:trPr>
          <w:trHeight w:val="699"/>
        </w:trPr>
        <w:tc>
          <w:tcPr>
            <w:tcW w:w="10748" w:type="dxa"/>
            <w:shd w:val="clear" w:color="auto" w:fill="A6A6A6"/>
          </w:tcPr>
          <w:p w:rsidR="00F17D74" w:rsidRPr="006068C7" w:rsidRDefault="00F17D74" w:rsidP="006B65EC">
            <w:pP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bookmarkStart w:id="0" w:name="OLE_LINK18"/>
            <w:bookmarkStart w:id="1" w:name="OLE_LINK65"/>
            <w:bookmarkStart w:id="2" w:name="OLE_LINK66"/>
            <w:bookmarkStart w:id="3" w:name="OLE_LINK1"/>
            <w:bookmarkStart w:id="4" w:name="OLE_LINK2"/>
            <w:bookmarkStart w:id="5" w:name="OLE_LINK3"/>
            <w:bookmarkStart w:id="6" w:name="OLE_LINK4"/>
            <w:bookmarkStart w:id="7" w:name="OLE_LINK5"/>
            <w:r w:rsidRPr="00606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China Symposium</w:t>
            </w:r>
            <w:proofErr w:type="gramStart"/>
            <w:r w:rsidRPr="00606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—</w:t>
            </w:r>
            <w:r w:rsidR="006B65EC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新闻</w:t>
            </w:r>
            <w:proofErr w:type="gramEnd"/>
            <w:r w:rsidR="006B65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简报</w:t>
            </w:r>
            <w:r w:rsidRPr="006068C7">
              <w:rPr>
                <w:rStyle w:val="a4"/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footnoteReference w:id="1"/>
            </w:r>
            <w:r w:rsidRPr="00606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6068C7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  </w:t>
            </w:r>
            <w:r w:rsidRPr="00606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                         </w:t>
            </w:r>
            <w:r w:rsidR="006B65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2015</w:t>
            </w:r>
            <w:r w:rsidR="006B65EC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年</w:t>
            </w:r>
            <w:r w:rsidR="006B65EC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5</w:t>
            </w:r>
            <w:r w:rsidR="006B65EC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与</w:t>
            </w:r>
            <w:r w:rsidR="006B65EC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5</w:t>
            </w:r>
            <w:r w:rsidR="006B65EC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日</w:t>
            </w:r>
            <w:r w:rsidRPr="00606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                        </w:t>
            </w:r>
          </w:p>
        </w:tc>
      </w:tr>
      <w:bookmarkEnd w:id="0"/>
      <w:bookmarkEnd w:id="1"/>
      <w:bookmarkEnd w:id="2"/>
      <w:tr w:rsidR="00F17D74" w:rsidRPr="00E85C5B" w:rsidTr="008F76ED">
        <w:trPr>
          <w:trHeight w:val="655"/>
        </w:trPr>
        <w:tc>
          <w:tcPr>
            <w:tcW w:w="10748" w:type="dxa"/>
            <w:vAlign w:val="center"/>
          </w:tcPr>
          <w:p w:rsidR="00F17D74" w:rsidRPr="00E85C5B" w:rsidRDefault="00F17D74" w:rsidP="00F17D74">
            <w:pPr>
              <w:widowControl/>
              <w:shd w:val="clear" w:color="auto" w:fill="FFFFFF"/>
              <w:spacing w:line="400" w:lineRule="exact"/>
              <w:ind w:right="147"/>
              <w:jc w:val="left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习近平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呼吁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建设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两岸利益共同体</w:t>
            </w:r>
            <w:r w:rsidRPr="00E85C5B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>
              <w:rPr>
                <w:rFonts w:ascii="Times New Roman" w:hAnsi="Times New Roman" w:hint="eastAsia"/>
                <w:i/>
                <w:sz w:val="24"/>
                <w:szCs w:val="24"/>
              </w:rPr>
              <w:t>编辑</w:t>
            </w:r>
            <w:r w:rsidRPr="00E85C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Hongguang</w:t>
            </w:r>
            <w:proofErr w:type="spellEnd"/>
            <w:r w:rsidRPr="00E85C5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i/>
                <w:sz w:val="24"/>
                <w:szCs w:val="24"/>
              </w:rPr>
              <w:t>新华社</w:t>
            </w:r>
            <w:r w:rsidRPr="00E85C5B">
              <w:rPr>
                <w:rFonts w:ascii="Times New Roman" w:hAnsi="Times New Roman"/>
                <w:i/>
                <w:sz w:val="24"/>
                <w:szCs w:val="24"/>
              </w:rPr>
              <w:t>)—(201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E85C5B">
              <w:rPr>
                <w:rFonts w:ascii="Times New Roman" w:hAnsi="Times New Roman"/>
                <w:i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E85C5B">
              <w:rPr>
                <w:rFonts w:ascii="Times New Roman" w:hAnsi="Times New Roman"/>
                <w:i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85C5B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F17D74" w:rsidRPr="006068C7" w:rsidTr="008F76ED">
        <w:trPr>
          <w:trHeight w:val="543"/>
        </w:trPr>
        <w:tc>
          <w:tcPr>
            <w:tcW w:w="10748" w:type="dxa"/>
            <w:shd w:val="clear" w:color="auto" w:fill="A6A6A6"/>
            <w:vAlign w:val="center"/>
          </w:tcPr>
          <w:p w:rsidR="00F17D74" w:rsidRPr="006068C7" w:rsidRDefault="00F17D74" w:rsidP="00F17D74">
            <w:pPr>
              <w:tabs>
                <w:tab w:val="left" w:pos="1448"/>
                <w:tab w:val="left" w:pos="6863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共产党和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国民党</w:t>
            </w:r>
            <w:r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的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领袖</w:t>
            </w:r>
            <w:r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进行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会面</w:t>
            </w:r>
          </w:p>
        </w:tc>
      </w:tr>
      <w:tr w:rsidR="00F17D74" w:rsidRPr="006068C7" w:rsidTr="008F76ED">
        <w:trPr>
          <w:trHeight w:val="1865"/>
        </w:trPr>
        <w:tc>
          <w:tcPr>
            <w:tcW w:w="10748" w:type="dxa"/>
          </w:tcPr>
          <w:p w:rsidR="00F17D74" w:rsidRDefault="00F17D74" w:rsidP="008F76ED">
            <w:pPr>
              <w:pStyle w:val="1"/>
              <w:spacing w:line="264" w:lineRule="auto"/>
              <w:ind w:left="449" w:firstLineChars="0" w:firstLine="0"/>
              <w:rPr>
                <w:rFonts w:ascii="Arial" w:hAnsi="Arial" w:cs="Arial"/>
                <w:szCs w:val="21"/>
              </w:rPr>
            </w:pPr>
          </w:p>
          <w:p w:rsidR="00F17D74" w:rsidRPr="00742474" w:rsidRDefault="00F17D74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习近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平主席</w:t>
            </w:r>
            <w:proofErr w:type="gramEnd"/>
            <w:r>
              <w:rPr>
                <w:rFonts w:ascii="Arial" w:hAnsi="Arial" w:cs="Arial"/>
                <w:szCs w:val="21"/>
              </w:rPr>
              <w:t>与国民党主席</w:t>
            </w:r>
            <w:r>
              <w:rPr>
                <w:rFonts w:ascii="Arial" w:hAnsi="Arial" w:cs="Arial" w:hint="eastAsia"/>
                <w:szCs w:val="21"/>
              </w:rPr>
              <w:t>朱立伦</w:t>
            </w:r>
            <w:r>
              <w:rPr>
                <w:rFonts w:ascii="Arial" w:hAnsi="Arial" w:cs="Arial"/>
                <w:szCs w:val="21"/>
              </w:rPr>
              <w:t>在周一</w:t>
            </w:r>
            <w:r>
              <w:rPr>
                <w:rFonts w:ascii="Arial" w:hAnsi="Arial" w:cs="Arial" w:hint="eastAsia"/>
                <w:szCs w:val="21"/>
              </w:rPr>
              <w:t>于北京</w:t>
            </w:r>
            <w:r>
              <w:rPr>
                <w:rFonts w:ascii="Arial" w:hAnsi="Arial" w:cs="Arial"/>
                <w:szCs w:val="21"/>
              </w:rPr>
              <w:t>会面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793A2E" w:rsidRDefault="00793A2E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习近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平主席</w:t>
            </w:r>
            <w:proofErr w:type="gramEnd"/>
            <w:r>
              <w:rPr>
                <w:rFonts w:ascii="Arial" w:hAnsi="Arial" w:cs="Arial"/>
                <w:szCs w:val="21"/>
              </w:rPr>
              <w:t>在会上呼吁</w:t>
            </w:r>
            <w:r>
              <w:rPr>
                <w:rFonts w:ascii="Arial" w:hAnsi="Arial" w:cs="Arial" w:hint="eastAsia"/>
                <w:szCs w:val="21"/>
              </w:rPr>
              <w:t>建设</w:t>
            </w:r>
            <w:r>
              <w:rPr>
                <w:rFonts w:ascii="Arial" w:hAnsi="Arial" w:cs="Arial"/>
                <w:szCs w:val="21"/>
              </w:rPr>
              <w:t>两岸利益共同体。</w:t>
            </w:r>
          </w:p>
          <w:p w:rsidR="00F17D74" w:rsidRPr="00742474" w:rsidRDefault="00F17D74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双方</w:t>
            </w:r>
            <w:r>
              <w:rPr>
                <w:rFonts w:ascii="Arial" w:hAnsi="Arial" w:cs="Arial"/>
                <w:szCs w:val="21"/>
              </w:rPr>
              <w:t>在</w:t>
            </w:r>
            <w:r>
              <w:rPr>
                <w:rFonts w:ascii="Arial" w:hAnsi="Arial" w:cs="Arial" w:hint="eastAsia"/>
                <w:szCs w:val="21"/>
              </w:rPr>
              <w:t>会议</w:t>
            </w:r>
            <w:r>
              <w:rPr>
                <w:rFonts w:ascii="Arial" w:hAnsi="Arial" w:cs="Arial"/>
                <w:szCs w:val="21"/>
              </w:rPr>
              <w:t>中达成共识</w:t>
            </w:r>
            <w:r>
              <w:rPr>
                <w:rFonts w:ascii="Arial" w:hAnsi="Arial" w:cs="Arial" w:hint="eastAsia"/>
                <w:szCs w:val="21"/>
              </w:rPr>
              <w:t>：海峡</w:t>
            </w:r>
            <w:r>
              <w:rPr>
                <w:rFonts w:ascii="Arial" w:hAnsi="Arial" w:cs="Arial"/>
                <w:szCs w:val="21"/>
              </w:rPr>
              <w:t>两岸都是中国</w:t>
            </w:r>
            <w:r>
              <w:rPr>
                <w:rFonts w:ascii="Arial" w:hAnsi="Arial" w:cs="Arial" w:hint="eastAsia"/>
                <w:szCs w:val="21"/>
              </w:rPr>
              <w:t>人</w:t>
            </w:r>
            <w:r>
              <w:rPr>
                <w:rFonts w:ascii="Arial" w:hAnsi="Arial" w:cs="Arial"/>
                <w:szCs w:val="21"/>
              </w:rPr>
              <w:t>，属于命运共同体。</w:t>
            </w:r>
          </w:p>
          <w:p w:rsidR="00F17D74" w:rsidRDefault="00F17D74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习近平</w:t>
            </w:r>
            <w:r>
              <w:rPr>
                <w:rFonts w:ascii="Arial" w:hAnsi="Arial" w:cs="Arial"/>
                <w:szCs w:val="21"/>
              </w:rPr>
              <w:t>和朱立伦的会面是加深政治互信的成果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F17D74" w:rsidRPr="00742474" w:rsidRDefault="00F17D74" w:rsidP="008F76ED">
            <w:pPr>
              <w:pStyle w:val="1"/>
              <w:spacing w:line="264" w:lineRule="auto"/>
              <w:ind w:left="449" w:firstLineChars="0" w:firstLine="0"/>
              <w:rPr>
                <w:rFonts w:ascii="Arial" w:hAnsi="Arial" w:cs="Arial"/>
                <w:szCs w:val="21"/>
              </w:rPr>
            </w:pPr>
          </w:p>
        </w:tc>
      </w:tr>
      <w:tr w:rsidR="00F17D74" w:rsidRPr="006068C7" w:rsidTr="008F76ED">
        <w:trPr>
          <w:trHeight w:val="431"/>
        </w:trPr>
        <w:tc>
          <w:tcPr>
            <w:tcW w:w="10748" w:type="dxa"/>
            <w:shd w:val="clear" w:color="auto" w:fill="A6A6A6"/>
            <w:vAlign w:val="center"/>
          </w:tcPr>
          <w:p w:rsidR="00F17D74" w:rsidRPr="006068C7" w:rsidRDefault="00F17D74" w:rsidP="00F17D74">
            <w:pPr>
              <w:tabs>
                <w:tab w:val="left" w:pos="1448"/>
                <w:tab w:val="left" w:pos="6863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建立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命运共同体的</w:t>
            </w:r>
            <w:r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五点建议</w:t>
            </w:r>
          </w:p>
        </w:tc>
      </w:tr>
      <w:tr w:rsidR="00F17D74" w:rsidRPr="00D94595" w:rsidTr="008F76ED">
        <w:trPr>
          <w:trHeight w:val="1318"/>
        </w:trPr>
        <w:tc>
          <w:tcPr>
            <w:tcW w:w="10748" w:type="dxa"/>
          </w:tcPr>
          <w:p w:rsidR="00F17D74" w:rsidRPr="00D94595" w:rsidRDefault="00F17D74" w:rsidP="008F76ED">
            <w:pPr>
              <w:pStyle w:val="1"/>
              <w:spacing w:line="264" w:lineRule="auto"/>
              <w:ind w:left="449" w:firstLineChars="0" w:firstLine="0"/>
              <w:rPr>
                <w:rFonts w:ascii="Arial" w:hAnsi="Arial" w:cs="Arial"/>
                <w:kern w:val="0"/>
                <w:szCs w:val="21"/>
              </w:rPr>
            </w:pPr>
          </w:p>
          <w:p w:rsidR="00F17D74" w:rsidRDefault="00F17D74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一个中国原则</w:t>
            </w:r>
            <w:r>
              <w:rPr>
                <w:rFonts w:ascii="Arial" w:hAnsi="Arial" w:cs="Arial"/>
                <w:szCs w:val="21"/>
              </w:rPr>
              <w:t>:</w:t>
            </w:r>
          </w:p>
          <w:p w:rsidR="00F17D74" w:rsidRDefault="00F17D74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政治</w:t>
            </w:r>
            <w:r>
              <w:rPr>
                <w:rFonts w:ascii="Arial" w:hAnsi="Arial" w:cs="Arial"/>
                <w:szCs w:val="21"/>
              </w:rPr>
              <w:t>基础：遵守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九二共识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反对</w:t>
            </w:r>
            <w:r>
              <w:rPr>
                <w:rFonts w:ascii="Arial" w:hAnsi="Arial" w:cs="Arial" w:hint="eastAsia"/>
                <w:szCs w:val="21"/>
              </w:rPr>
              <w:t>“台独”</w:t>
            </w:r>
            <w:r w:rsidR="006B65EC">
              <w:rPr>
                <w:rFonts w:ascii="Arial" w:hAnsi="Arial" w:cs="Arial" w:hint="eastAsia"/>
                <w:szCs w:val="21"/>
              </w:rPr>
              <w:t>。</w:t>
            </w:r>
          </w:p>
          <w:p w:rsidR="00F17D74" w:rsidRPr="00E85C5B" w:rsidRDefault="00A01DE4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共产党和</w:t>
            </w:r>
            <w:r>
              <w:rPr>
                <w:rFonts w:ascii="Arial" w:hAnsi="Arial" w:cs="Arial"/>
                <w:szCs w:val="21"/>
              </w:rPr>
              <w:t>国民党应当反对</w:t>
            </w:r>
            <w:r>
              <w:rPr>
                <w:rFonts w:ascii="Arial" w:hAnsi="Arial" w:cs="Arial" w:hint="eastAsia"/>
                <w:szCs w:val="21"/>
              </w:rPr>
              <w:t>抵制</w:t>
            </w:r>
            <w:r>
              <w:rPr>
                <w:rFonts w:ascii="Arial" w:hAnsi="Arial" w:cs="Arial"/>
                <w:szCs w:val="21"/>
              </w:rPr>
              <w:t>任何有损政治基础的行为和言论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F17D74" w:rsidRDefault="00A01DE4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对台优先</w:t>
            </w:r>
            <w:r>
              <w:rPr>
                <w:rFonts w:ascii="Arial" w:hAnsi="Arial" w:cs="Arial"/>
                <w:szCs w:val="21"/>
              </w:rPr>
              <w:t>：</w:t>
            </w:r>
          </w:p>
          <w:p w:rsidR="00F17D74" w:rsidRDefault="00A01DE4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大陆</w:t>
            </w:r>
            <w:r>
              <w:rPr>
                <w:rFonts w:ascii="Arial" w:hAnsi="Arial" w:cs="Arial"/>
                <w:szCs w:val="21"/>
              </w:rPr>
              <w:t>愿意</w:t>
            </w:r>
            <w:r>
              <w:rPr>
                <w:rFonts w:ascii="Arial" w:hAnsi="Arial" w:cs="Arial" w:hint="eastAsia"/>
                <w:szCs w:val="21"/>
              </w:rPr>
              <w:t>优先</w:t>
            </w:r>
            <w:r>
              <w:rPr>
                <w:rFonts w:ascii="Arial" w:hAnsi="Arial" w:cs="Arial"/>
                <w:szCs w:val="21"/>
              </w:rPr>
              <w:t>对台湾开放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F17D74" w:rsidRDefault="00A01DE4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left="1284" w:firstLineChars="0" w:hanging="42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在</w:t>
            </w:r>
            <w:r>
              <w:rPr>
                <w:rFonts w:ascii="Arial" w:hAnsi="Arial" w:cs="Arial"/>
                <w:szCs w:val="21"/>
              </w:rPr>
              <w:t>不违反一个中国的原则下</w:t>
            </w:r>
            <w:r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对台湾加入地区经济合作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作出</w:t>
            </w:r>
            <w:proofErr w:type="gramEnd"/>
            <w:r>
              <w:rPr>
                <w:rFonts w:ascii="Arial" w:hAnsi="Arial" w:cs="Arial"/>
                <w:szCs w:val="21"/>
              </w:rPr>
              <w:t>适当的安排。</w:t>
            </w:r>
            <w:r w:rsidR="00F17D74">
              <w:rPr>
                <w:rFonts w:ascii="Arial" w:hAnsi="Arial" w:cs="Arial"/>
                <w:szCs w:val="21"/>
              </w:rPr>
              <w:t xml:space="preserve"> </w:t>
            </w:r>
          </w:p>
          <w:p w:rsidR="00F17D74" w:rsidRPr="00A01DE4" w:rsidRDefault="00A01DE4" w:rsidP="00A01DE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大陆</w:t>
            </w:r>
            <w:r>
              <w:rPr>
                <w:rFonts w:ascii="Arial" w:hAnsi="Arial" w:cs="Arial"/>
                <w:szCs w:val="21"/>
              </w:rPr>
              <w:t>欢迎台湾加入亚洲基础设施投资银行的意愿。</w:t>
            </w:r>
          </w:p>
          <w:p w:rsidR="00F17D74" w:rsidRDefault="00A01DE4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内心与</w:t>
            </w:r>
            <w:r>
              <w:rPr>
                <w:rFonts w:ascii="Arial" w:hAnsi="Arial" w:cs="Arial"/>
                <w:szCs w:val="21"/>
              </w:rPr>
              <w:t>灵魂的沟通</w:t>
            </w:r>
          </w:p>
          <w:p w:rsidR="00F17D74" w:rsidRPr="00183223" w:rsidRDefault="00F17D74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vanish/>
              </w:rPr>
              <w:t>Carrying on the same cultural tradition, people from both sides of the Strait should work to build a bridge between their heart and soul Carrying on the same cultural tradition, people from both sides of the Strait should work to build a bridge between their heart and soulCarrying on the same cultural tradition, people from both sides of the Strait should work to build a bridge between their heart and soul Carrying on the same cultural tradition, people from both sides of the Strait should work to build a bridge between their heart and soul Carrying on the same cultural tradition, people from both sides of the Strait should work to build a bridge between their heart and soul Carrying on the same cultural tradition, people from both sides of the Strait should work to build a bridge between their heart and soul</w:t>
            </w:r>
            <w:r w:rsidR="00A01DE4">
              <w:rPr>
                <w:rFonts w:hint="eastAsia"/>
              </w:rPr>
              <w:t>共同的</w:t>
            </w:r>
            <w:r w:rsidR="00A01DE4">
              <w:t>文化传统是</w:t>
            </w:r>
            <w:r w:rsidR="00EB0AEB">
              <w:rPr>
                <w:rFonts w:hint="eastAsia"/>
              </w:rPr>
              <w:t>两岸同胞</w:t>
            </w:r>
            <w:r w:rsidR="00EB0AEB">
              <w:t>血脉相连的精神纽带。</w:t>
            </w:r>
          </w:p>
          <w:p w:rsidR="00EB0AEB" w:rsidRPr="00EB0AEB" w:rsidRDefault="00EB0AEB" w:rsidP="00EB0AEB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</w:pPr>
            <w:r w:rsidRPr="00EB0AEB">
              <w:t>实施进一步便利两岸同胞来往的措施</w:t>
            </w:r>
            <w:r w:rsidR="006B65EC">
              <w:rPr>
                <w:rFonts w:hint="eastAsia"/>
              </w:rPr>
              <w:t>。</w:t>
            </w:r>
          </w:p>
          <w:p w:rsidR="00F17D74" w:rsidRPr="00EB0AEB" w:rsidRDefault="006B65EC" w:rsidP="005D27F6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勇敢面对政治难题</w:t>
            </w:r>
          </w:p>
          <w:p w:rsidR="006B65EC" w:rsidRPr="006B65EC" w:rsidRDefault="006B65EC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rFonts w:ascii="Simsun" w:hAnsi="Simsun"/>
                <w:color w:val="2B2B2B"/>
                <w:szCs w:val="21"/>
              </w:rPr>
              <w:t>对两岸间长期存在的政治分歧和难题，国共两党都要勇于面对</w:t>
            </w:r>
            <w:r>
              <w:rPr>
                <w:rFonts w:ascii="Simsun" w:hAnsi="Simsun" w:hint="eastAsia"/>
                <w:color w:val="2B2B2B"/>
                <w:szCs w:val="21"/>
              </w:rPr>
              <w:t>。</w:t>
            </w:r>
          </w:p>
          <w:p w:rsidR="00F17D74" w:rsidRPr="00183223" w:rsidRDefault="006B65EC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rFonts w:ascii="Simsun" w:hAnsi="Simsun"/>
                <w:color w:val="2B2B2B"/>
                <w:szCs w:val="21"/>
              </w:rPr>
              <w:t>汇聚两岸同胞智慧，积极探索解决之道。</w:t>
            </w:r>
            <w:r w:rsidR="00F17D74">
              <w:rPr>
                <w:vanish/>
              </w:rPr>
              <w:t>the CPC and KMT should be brave when facing lingering political differences and difficultiesthe CPC and KMT should be brave when facing lingering political differences and difficulties</w:t>
            </w:r>
          </w:p>
          <w:p w:rsidR="00F17D74" w:rsidRDefault="00EB0AEB" w:rsidP="00F17D74">
            <w:pPr>
              <w:pStyle w:val="1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民族复兴</w:t>
            </w:r>
            <w:r>
              <w:rPr>
                <w:rFonts w:ascii="Arial" w:hAnsi="Arial" w:cs="Arial"/>
                <w:szCs w:val="21"/>
              </w:rPr>
              <w:t>是共同的使命</w:t>
            </w:r>
          </w:p>
          <w:p w:rsidR="00F17D74" w:rsidRPr="00351A80" w:rsidRDefault="006B65EC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left="1284" w:firstLineChars="0" w:hanging="425"/>
              <w:rPr>
                <w:rFonts w:ascii="Arial" w:hAnsi="Arial" w:cs="Arial"/>
                <w:szCs w:val="21"/>
              </w:rPr>
            </w:pPr>
            <w:r>
              <w:rPr>
                <w:rFonts w:ascii="Simsun" w:hAnsi="Simsun" w:hint="eastAsia"/>
                <w:color w:val="2B2B2B"/>
                <w:szCs w:val="21"/>
              </w:rPr>
              <w:t>习近平</w:t>
            </w:r>
            <w:r>
              <w:rPr>
                <w:rFonts w:ascii="Simsun" w:hAnsi="Simsun"/>
                <w:color w:val="2B2B2B"/>
                <w:szCs w:val="21"/>
              </w:rPr>
              <w:t>主席认为，</w:t>
            </w:r>
            <w:r w:rsidR="00793A2E">
              <w:rPr>
                <w:rFonts w:ascii="Simsun" w:hAnsi="Simsun" w:hint="eastAsia"/>
                <w:color w:val="2B2B2B"/>
                <w:szCs w:val="21"/>
              </w:rPr>
              <w:t>在</w:t>
            </w:r>
            <w:r w:rsidR="00793A2E">
              <w:rPr>
                <w:rFonts w:ascii="Simsun" w:hAnsi="Simsun"/>
                <w:color w:val="2B2B2B"/>
                <w:szCs w:val="21"/>
              </w:rPr>
              <w:t>中国人民</w:t>
            </w:r>
            <w:bookmarkStart w:id="8" w:name="_GoBack"/>
            <w:bookmarkEnd w:id="8"/>
            <w:r w:rsidR="00793A2E">
              <w:rPr>
                <w:rFonts w:ascii="Simsun" w:hAnsi="Simsun"/>
                <w:color w:val="2B2B2B"/>
                <w:szCs w:val="21"/>
              </w:rPr>
              <w:t>的共同努力下，</w:t>
            </w:r>
            <w:r>
              <w:rPr>
                <w:rFonts w:ascii="Simsun" w:hAnsi="Simsun"/>
                <w:color w:val="2B2B2B"/>
                <w:szCs w:val="21"/>
              </w:rPr>
              <w:t>实现中华民族伟大复兴</w:t>
            </w:r>
            <w:r w:rsidR="00793A2E">
              <w:rPr>
                <w:rFonts w:ascii="Simsun" w:hAnsi="Simsun"/>
                <w:color w:val="2B2B2B"/>
                <w:szCs w:val="21"/>
              </w:rPr>
              <w:t>指日可待</w:t>
            </w:r>
            <w:r>
              <w:rPr>
                <w:rFonts w:ascii="Simsun" w:hAnsi="Simsun" w:hint="eastAsia"/>
                <w:color w:val="2B2B2B"/>
                <w:szCs w:val="21"/>
              </w:rPr>
              <w:t>。</w:t>
            </w:r>
          </w:p>
          <w:p w:rsidR="00F17D74" w:rsidRPr="00351A80" w:rsidRDefault="006B65EC" w:rsidP="00F17D74">
            <w:pPr>
              <w:pStyle w:val="1"/>
              <w:numPr>
                <w:ilvl w:val="0"/>
                <w:numId w:val="2"/>
              </w:numPr>
              <w:spacing w:line="264" w:lineRule="auto"/>
              <w:ind w:firstLineChars="0" w:hanging="10"/>
              <w:rPr>
                <w:rFonts w:ascii="Arial" w:hAnsi="Arial" w:cs="Arial"/>
                <w:szCs w:val="21"/>
              </w:rPr>
            </w:pPr>
            <w:r>
              <w:rPr>
                <w:rFonts w:ascii="Simsun" w:hAnsi="Simsun"/>
                <w:color w:val="2B2B2B"/>
                <w:szCs w:val="21"/>
              </w:rPr>
              <w:t>国共两党秉持民族大义，承担起为中华民族谋复兴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F17D74" w:rsidRDefault="00F17D74" w:rsidP="008F76ED">
            <w:pPr>
              <w:pStyle w:val="1"/>
              <w:spacing w:line="264" w:lineRule="auto"/>
              <w:ind w:firstLineChars="0"/>
              <w:rPr>
                <w:rFonts w:ascii="Arial" w:hAnsi="Arial" w:cs="Arial"/>
                <w:szCs w:val="21"/>
              </w:rPr>
            </w:pPr>
            <w:r w:rsidRPr="00183223">
              <w:rPr>
                <w:vanish/>
              </w:rPr>
              <w:t>he is confident that the Chinese nation will realize its revival in the near future if all Chinese, including people on both sides of the Strait, work together</w:t>
            </w:r>
            <w:r>
              <w:rPr>
                <w:vanish/>
              </w:rPr>
              <w:t>he is confident that the Chinese nation will realize its revival in the near future if all Chinese, including people on both sides of the Strait, work together</w:t>
            </w:r>
          </w:p>
          <w:p w:rsidR="00F17D74" w:rsidRPr="00D94595" w:rsidRDefault="00F17D74" w:rsidP="008F76ED">
            <w:pPr>
              <w:pStyle w:val="1"/>
              <w:spacing w:line="264" w:lineRule="auto"/>
              <w:ind w:left="449" w:firstLineChars="0" w:firstLine="0"/>
              <w:rPr>
                <w:rFonts w:ascii="Arial" w:hAnsi="Arial" w:cs="Arial"/>
                <w:kern w:val="0"/>
                <w:szCs w:val="21"/>
              </w:rPr>
            </w:pPr>
          </w:p>
        </w:tc>
      </w:tr>
      <w:bookmarkEnd w:id="3"/>
      <w:bookmarkEnd w:id="4"/>
      <w:bookmarkEnd w:id="5"/>
      <w:bookmarkEnd w:id="6"/>
      <w:bookmarkEnd w:id="7"/>
    </w:tbl>
    <w:p w:rsidR="008753E0" w:rsidRDefault="00F42545"/>
    <w:sectPr w:rsidR="008753E0" w:rsidSect="00F17D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45" w:rsidRDefault="00F42545" w:rsidP="00F17D74">
      <w:r>
        <w:separator/>
      </w:r>
    </w:p>
  </w:endnote>
  <w:endnote w:type="continuationSeparator" w:id="0">
    <w:p w:rsidR="00F42545" w:rsidRDefault="00F42545" w:rsidP="00F1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45" w:rsidRDefault="00F42545" w:rsidP="00F17D74">
      <w:r>
        <w:separator/>
      </w:r>
    </w:p>
  </w:footnote>
  <w:footnote w:type="continuationSeparator" w:id="0">
    <w:p w:rsidR="00F42545" w:rsidRDefault="00F42545" w:rsidP="00F17D74">
      <w:r>
        <w:continuationSeparator/>
      </w:r>
    </w:p>
  </w:footnote>
  <w:footnote w:id="1">
    <w:p w:rsidR="00F17D74" w:rsidRDefault="00F17D74" w:rsidP="00F17D74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Source:</w:t>
      </w:r>
      <w:r w:rsidR="006B65EC" w:rsidRPr="006B65EC">
        <w:t xml:space="preserve"> http://news.xinhuanet.com/english/2015-05/04/c_134209522.htm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E314C"/>
    <w:multiLevelType w:val="hybridMultilevel"/>
    <w:tmpl w:val="D67E2EC2"/>
    <w:lvl w:ilvl="0" w:tplc="0409000B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1">
    <w:nsid w:val="658D1483"/>
    <w:multiLevelType w:val="multilevel"/>
    <w:tmpl w:val="658D1483"/>
    <w:lvl w:ilvl="0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74"/>
    <w:rsid w:val="006B65EC"/>
    <w:rsid w:val="007176D4"/>
    <w:rsid w:val="00793A2E"/>
    <w:rsid w:val="00A01DE4"/>
    <w:rsid w:val="00A12D06"/>
    <w:rsid w:val="00EB0AEB"/>
    <w:rsid w:val="00F17D74"/>
    <w:rsid w:val="00F42545"/>
    <w:rsid w:val="00F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97997-7A56-44A5-B82C-31BF019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17D7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F17D74"/>
    <w:rPr>
      <w:rFonts w:ascii="Calibri" w:eastAsia="宋体" w:hAnsi="Calibri" w:cs="Times New Roman"/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F17D74"/>
    <w:rPr>
      <w:vertAlign w:val="superscript"/>
    </w:rPr>
  </w:style>
  <w:style w:type="paragraph" w:customStyle="1" w:styleId="1">
    <w:name w:val="列出段落1"/>
    <w:basedOn w:val="a"/>
    <w:uiPriority w:val="34"/>
    <w:qFormat/>
    <w:rsid w:val="00F17D74"/>
    <w:pPr>
      <w:ind w:firstLineChars="200" w:firstLine="420"/>
    </w:pPr>
  </w:style>
  <w:style w:type="character" w:styleId="a5">
    <w:name w:val="Strong"/>
    <w:basedOn w:val="a0"/>
    <w:uiPriority w:val="22"/>
    <w:qFormat/>
    <w:rsid w:val="00F17D74"/>
    <w:rPr>
      <w:b/>
      <w:bCs/>
    </w:rPr>
  </w:style>
  <w:style w:type="paragraph" w:styleId="a6">
    <w:name w:val="header"/>
    <w:basedOn w:val="a"/>
    <w:link w:val="Char0"/>
    <w:uiPriority w:val="99"/>
    <w:unhideWhenUsed/>
    <w:rsid w:val="00793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3A2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3A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3833-D804-4A71-B2B2-A0891226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906</Words>
  <Characters>1006</Characters>
  <Application>Microsoft Office Word</Application>
  <DocSecurity>0</DocSecurity>
  <Lines>30</Lines>
  <Paragraphs>13</Paragraphs>
  <ScaleCrop>false</ScaleCrop>
  <Company>微软中国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2015-05-05T15:12:00Z</dcterms:created>
  <dcterms:modified xsi:type="dcterms:W3CDTF">2015-05-07T23:42:00Z</dcterms:modified>
</cp:coreProperties>
</file>